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665"/>
        <w:tblW w:w="13968" w:type="dxa"/>
        <w:tblLayout w:type="fixed"/>
        <w:tblLook w:val="04A0"/>
      </w:tblPr>
      <w:tblGrid>
        <w:gridCol w:w="450"/>
        <w:gridCol w:w="1458"/>
        <w:gridCol w:w="1080"/>
        <w:gridCol w:w="1080"/>
        <w:gridCol w:w="999"/>
        <w:gridCol w:w="981"/>
        <w:gridCol w:w="4320"/>
        <w:gridCol w:w="3600"/>
      </w:tblGrid>
      <w:tr w:rsidR="00A92DBA" w:rsidRPr="00EC74D2" w:rsidTr="0030470F">
        <w:tc>
          <w:tcPr>
            <w:tcW w:w="450" w:type="dxa"/>
          </w:tcPr>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Sl.</w:t>
            </w:r>
          </w:p>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no</w:t>
            </w:r>
          </w:p>
        </w:tc>
        <w:tc>
          <w:tcPr>
            <w:tcW w:w="1458" w:type="dxa"/>
          </w:tcPr>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Component</w:t>
            </w:r>
          </w:p>
        </w:tc>
        <w:tc>
          <w:tcPr>
            <w:tcW w:w="1080" w:type="dxa"/>
          </w:tcPr>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Central share</w:t>
            </w:r>
          </w:p>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 xml:space="preserve">(Rs in </w:t>
            </w:r>
            <w:proofErr w:type="spellStart"/>
            <w:r w:rsidRPr="00EC74D2">
              <w:rPr>
                <w:rFonts w:ascii="Arial Narrow" w:hAnsi="Arial Narrow" w:cs="Arial"/>
                <w:sz w:val="18"/>
                <w:szCs w:val="18"/>
              </w:rPr>
              <w:t>lakh</w:t>
            </w:r>
            <w:proofErr w:type="spellEnd"/>
            <w:r w:rsidRPr="00EC74D2">
              <w:rPr>
                <w:rFonts w:ascii="Arial Narrow" w:hAnsi="Arial Narrow" w:cs="Arial"/>
                <w:sz w:val="18"/>
                <w:szCs w:val="18"/>
              </w:rPr>
              <w:t>)</w:t>
            </w:r>
          </w:p>
        </w:tc>
        <w:tc>
          <w:tcPr>
            <w:tcW w:w="1080" w:type="dxa"/>
          </w:tcPr>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State</w:t>
            </w:r>
          </w:p>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 xml:space="preserve"> Share</w:t>
            </w:r>
          </w:p>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 xml:space="preserve">(Rs in </w:t>
            </w:r>
            <w:proofErr w:type="spellStart"/>
            <w:r w:rsidRPr="00EC74D2">
              <w:rPr>
                <w:rFonts w:ascii="Arial Narrow" w:hAnsi="Arial Narrow" w:cs="Arial"/>
                <w:sz w:val="18"/>
                <w:szCs w:val="18"/>
              </w:rPr>
              <w:t>lakh</w:t>
            </w:r>
            <w:proofErr w:type="spellEnd"/>
            <w:r w:rsidRPr="00EC74D2">
              <w:rPr>
                <w:rFonts w:ascii="Arial Narrow" w:hAnsi="Arial Narrow" w:cs="Arial"/>
                <w:sz w:val="18"/>
                <w:szCs w:val="18"/>
              </w:rPr>
              <w:t>)</w:t>
            </w:r>
          </w:p>
        </w:tc>
        <w:tc>
          <w:tcPr>
            <w:tcW w:w="999" w:type="dxa"/>
          </w:tcPr>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Beneficiary share</w:t>
            </w:r>
          </w:p>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 xml:space="preserve">(Rs in </w:t>
            </w:r>
            <w:proofErr w:type="spellStart"/>
            <w:r w:rsidRPr="00EC74D2">
              <w:rPr>
                <w:rFonts w:ascii="Arial Narrow" w:hAnsi="Arial Narrow" w:cs="Arial"/>
                <w:sz w:val="18"/>
                <w:szCs w:val="18"/>
              </w:rPr>
              <w:t>lakh</w:t>
            </w:r>
            <w:proofErr w:type="spellEnd"/>
            <w:r w:rsidRPr="00EC74D2">
              <w:rPr>
                <w:rFonts w:ascii="Arial Narrow" w:hAnsi="Arial Narrow" w:cs="Arial"/>
                <w:sz w:val="18"/>
                <w:szCs w:val="18"/>
              </w:rPr>
              <w:t>)</w:t>
            </w:r>
          </w:p>
        </w:tc>
        <w:tc>
          <w:tcPr>
            <w:tcW w:w="981" w:type="dxa"/>
          </w:tcPr>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Total Cost</w:t>
            </w:r>
          </w:p>
          <w:p w:rsidR="00A92DBA" w:rsidRPr="00EC74D2" w:rsidRDefault="00A92DBA" w:rsidP="0030470F">
            <w:pPr>
              <w:tabs>
                <w:tab w:val="left" w:pos="630"/>
                <w:tab w:val="left" w:pos="990"/>
              </w:tabs>
              <w:jc w:val="center"/>
              <w:rPr>
                <w:rFonts w:ascii="Arial Narrow" w:hAnsi="Arial Narrow" w:cs="Arial"/>
                <w:sz w:val="18"/>
                <w:szCs w:val="18"/>
              </w:rPr>
            </w:pPr>
            <w:r w:rsidRPr="00EC74D2">
              <w:rPr>
                <w:rFonts w:ascii="Arial Narrow" w:hAnsi="Arial Narrow" w:cs="Arial"/>
                <w:sz w:val="18"/>
                <w:szCs w:val="18"/>
              </w:rPr>
              <w:t xml:space="preserve">(Rs in </w:t>
            </w:r>
            <w:proofErr w:type="spellStart"/>
            <w:r w:rsidRPr="00EC74D2">
              <w:rPr>
                <w:rFonts w:ascii="Arial Narrow" w:hAnsi="Arial Narrow" w:cs="Arial"/>
                <w:sz w:val="18"/>
                <w:szCs w:val="18"/>
              </w:rPr>
              <w:t>lakh</w:t>
            </w:r>
            <w:proofErr w:type="spellEnd"/>
            <w:r w:rsidRPr="00EC74D2">
              <w:rPr>
                <w:rFonts w:ascii="Arial Narrow" w:hAnsi="Arial Narrow" w:cs="Arial"/>
                <w:sz w:val="18"/>
                <w:szCs w:val="18"/>
              </w:rPr>
              <w:t>)</w:t>
            </w:r>
          </w:p>
        </w:tc>
        <w:tc>
          <w:tcPr>
            <w:tcW w:w="4320" w:type="dxa"/>
          </w:tcPr>
          <w:p w:rsidR="00A92DBA" w:rsidRPr="00EC74D2" w:rsidRDefault="00A92DBA" w:rsidP="0030470F">
            <w:pPr>
              <w:rPr>
                <w:rFonts w:ascii="Arial Narrow" w:hAnsi="Arial Narrow" w:cs="Arial"/>
                <w:sz w:val="18"/>
                <w:szCs w:val="18"/>
              </w:rPr>
            </w:pPr>
            <w:r w:rsidRPr="00EC74D2">
              <w:rPr>
                <w:rFonts w:ascii="Arial Narrow" w:hAnsi="Arial Narrow" w:cs="Arial"/>
                <w:sz w:val="18"/>
                <w:szCs w:val="18"/>
              </w:rPr>
              <w:t>Salient Features</w:t>
            </w:r>
          </w:p>
        </w:tc>
        <w:tc>
          <w:tcPr>
            <w:tcW w:w="3600" w:type="dxa"/>
          </w:tcPr>
          <w:p w:rsidR="00A92DBA" w:rsidRPr="00EC74D2" w:rsidRDefault="00A92DBA" w:rsidP="0030470F">
            <w:pPr>
              <w:jc w:val="center"/>
              <w:rPr>
                <w:rFonts w:ascii="Arial Narrow" w:hAnsi="Arial Narrow" w:cs="Arial"/>
                <w:sz w:val="18"/>
                <w:szCs w:val="18"/>
              </w:rPr>
            </w:pPr>
            <w:r w:rsidRPr="00EC74D2">
              <w:rPr>
                <w:rFonts w:ascii="Arial Narrow" w:hAnsi="Arial Narrow" w:cs="Arial"/>
                <w:sz w:val="18"/>
                <w:szCs w:val="18"/>
              </w:rPr>
              <w:t>Remarks</w:t>
            </w:r>
          </w:p>
        </w:tc>
      </w:tr>
      <w:tr w:rsidR="00A92DBA" w:rsidRPr="00EC74D2" w:rsidTr="0030470F">
        <w:tc>
          <w:tcPr>
            <w:tcW w:w="450" w:type="dxa"/>
          </w:tcPr>
          <w:p w:rsidR="00A92DBA" w:rsidRPr="00EC74D2" w:rsidRDefault="00A92DBA" w:rsidP="0030470F">
            <w:pPr>
              <w:jc w:val="both"/>
              <w:rPr>
                <w:rFonts w:ascii="Arial Narrow" w:hAnsi="Arial Narrow" w:cs="Arial"/>
                <w:sz w:val="18"/>
                <w:szCs w:val="18"/>
              </w:rPr>
            </w:pPr>
            <w:r w:rsidRPr="00EC74D2">
              <w:rPr>
                <w:rFonts w:ascii="Arial Narrow" w:hAnsi="Arial Narrow" w:cs="Arial"/>
                <w:sz w:val="18"/>
                <w:szCs w:val="18"/>
              </w:rPr>
              <w:t>3.</w:t>
            </w:r>
          </w:p>
        </w:tc>
        <w:tc>
          <w:tcPr>
            <w:tcW w:w="1458" w:type="dxa"/>
          </w:tcPr>
          <w:p w:rsidR="00A92DBA" w:rsidRPr="00EC74D2" w:rsidRDefault="00A92DBA" w:rsidP="0030470F">
            <w:pPr>
              <w:jc w:val="both"/>
              <w:rPr>
                <w:rFonts w:ascii="Arial Narrow" w:hAnsi="Arial Narrow" w:cs="Arial"/>
                <w:sz w:val="18"/>
                <w:szCs w:val="18"/>
              </w:rPr>
            </w:pPr>
            <w:r w:rsidRPr="00EC74D2">
              <w:rPr>
                <w:rFonts w:ascii="Arial Narrow" w:hAnsi="Arial Narrow" w:cs="Arial"/>
                <w:sz w:val="18"/>
                <w:szCs w:val="18"/>
              </w:rPr>
              <w:t xml:space="preserve">Multiplication Pig Breeding farms </w:t>
            </w:r>
          </w:p>
          <w:p w:rsidR="00A92DBA" w:rsidRPr="00EC74D2" w:rsidRDefault="00A92DBA" w:rsidP="0030470F">
            <w:pPr>
              <w:jc w:val="both"/>
              <w:rPr>
                <w:rFonts w:ascii="Arial Narrow" w:hAnsi="Arial Narrow" w:cs="Arial"/>
                <w:sz w:val="18"/>
                <w:szCs w:val="18"/>
              </w:rPr>
            </w:pPr>
            <w:r w:rsidRPr="00EC74D2">
              <w:rPr>
                <w:rFonts w:ascii="Arial Narrow" w:hAnsi="Arial Narrow" w:cs="Arial"/>
                <w:sz w:val="18"/>
                <w:szCs w:val="18"/>
              </w:rPr>
              <w:t xml:space="preserve">(Sub-Mission on Piggery </w:t>
            </w:r>
            <w:proofErr w:type="spellStart"/>
            <w:r w:rsidRPr="00EC74D2">
              <w:rPr>
                <w:rFonts w:ascii="Arial Narrow" w:hAnsi="Arial Narrow" w:cs="Arial"/>
                <w:sz w:val="18"/>
                <w:szCs w:val="18"/>
              </w:rPr>
              <w:t>Dev.In</w:t>
            </w:r>
            <w:proofErr w:type="spellEnd"/>
            <w:r w:rsidRPr="00EC74D2">
              <w:rPr>
                <w:rFonts w:ascii="Arial Narrow" w:hAnsi="Arial Narrow" w:cs="Arial"/>
                <w:sz w:val="18"/>
                <w:szCs w:val="18"/>
              </w:rPr>
              <w:t xml:space="preserve"> NER)</w:t>
            </w:r>
          </w:p>
        </w:tc>
        <w:tc>
          <w:tcPr>
            <w:tcW w:w="1080" w:type="dxa"/>
          </w:tcPr>
          <w:p w:rsidR="00A92DBA" w:rsidRPr="00EC74D2" w:rsidRDefault="00A92DBA" w:rsidP="0030470F">
            <w:pPr>
              <w:jc w:val="right"/>
              <w:rPr>
                <w:rFonts w:ascii="Arial Narrow" w:hAnsi="Arial Narrow" w:cs="Arial"/>
                <w:sz w:val="18"/>
                <w:szCs w:val="18"/>
              </w:rPr>
            </w:pPr>
            <w:r w:rsidRPr="00EC74D2">
              <w:rPr>
                <w:rFonts w:ascii="Arial Narrow" w:hAnsi="Arial Narrow" w:cs="Arial"/>
                <w:sz w:val="18"/>
                <w:szCs w:val="18"/>
              </w:rPr>
              <w:t>121.95</w:t>
            </w:r>
          </w:p>
        </w:tc>
        <w:tc>
          <w:tcPr>
            <w:tcW w:w="1080" w:type="dxa"/>
          </w:tcPr>
          <w:p w:rsidR="00A92DBA" w:rsidRPr="00EC74D2" w:rsidRDefault="00A92DBA" w:rsidP="0030470F">
            <w:pPr>
              <w:jc w:val="right"/>
              <w:rPr>
                <w:rFonts w:ascii="Arial Narrow" w:hAnsi="Arial Narrow" w:cs="Arial"/>
                <w:sz w:val="18"/>
                <w:szCs w:val="18"/>
              </w:rPr>
            </w:pPr>
            <w:r w:rsidRPr="00EC74D2">
              <w:rPr>
                <w:rFonts w:ascii="Arial Narrow" w:hAnsi="Arial Narrow" w:cs="Arial"/>
                <w:sz w:val="18"/>
                <w:szCs w:val="18"/>
              </w:rPr>
              <w:t>13.55</w:t>
            </w:r>
          </w:p>
        </w:tc>
        <w:tc>
          <w:tcPr>
            <w:tcW w:w="999" w:type="dxa"/>
          </w:tcPr>
          <w:p w:rsidR="00A92DBA" w:rsidRPr="00EC74D2" w:rsidRDefault="00A92DBA" w:rsidP="0030470F">
            <w:pPr>
              <w:jc w:val="right"/>
              <w:rPr>
                <w:rFonts w:ascii="Arial Narrow" w:hAnsi="Arial Narrow" w:cs="Arial"/>
                <w:sz w:val="18"/>
                <w:szCs w:val="18"/>
              </w:rPr>
            </w:pPr>
            <w:r w:rsidRPr="00EC74D2">
              <w:rPr>
                <w:rFonts w:ascii="Arial Narrow" w:hAnsi="Arial Narrow" w:cs="Arial"/>
                <w:sz w:val="18"/>
                <w:szCs w:val="18"/>
              </w:rPr>
              <w:t>-</w:t>
            </w:r>
          </w:p>
        </w:tc>
        <w:tc>
          <w:tcPr>
            <w:tcW w:w="981" w:type="dxa"/>
          </w:tcPr>
          <w:p w:rsidR="00A92DBA" w:rsidRPr="00EC74D2" w:rsidRDefault="00A92DBA" w:rsidP="0030470F">
            <w:pPr>
              <w:jc w:val="right"/>
              <w:rPr>
                <w:rFonts w:ascii="Arial Narrow" w:hAnsi="Arial Narrow" w:cs="Arial"/>
                <w:sz w:val="18"/>
                <w:szCs w:val="18"/>
              </w:rPr>
            </w:pPr>
            <w:r w:rsidRPr="00EC74D2">
              <w:rPr>
                <w:rFonts w:ascii="Arial Narrow" w:hAnsi="Arial Narrow" w:cs="Arial"/>
                <w:sz w:val="18"/>
                <w:szCs w:val="18"/>
              </w:rPr>
              <w:t>135.50</w:t>
            </w:r>
          </w:p>
        </w:tc>
        <w:tc>
          <w:tcPr>
            <w:tcW w:w="4320" w:type="dxa"/>
          </w:tcPr>
          <w:p w:rsidR="00A92DBA" w:rsidRPr="00EC74D2" w:rsidRDefault="00A92DBA" w:rsidP="0030470F">
            <w:pPr>
              <w:jc w:val="both"/>
              <w:rPr>
                <w:rFonts w:ascii="Arial Narrow" w:hAnsi="Arial Narrow" w:cs="Arial"/>
                <w:b/>
                <w:sz w:val="18"/>
                <w:szCs w:val="18"/>
              </w:rPr>
            </w:pPr>
            <w:r w:rsidRPr="00EC74D2">
              <w:rPr>
                <w:rFonts w:ascii="Arial Narrow" w:hAnsi="Arial Narrow" w:cs="Arial"/>
                <w:sz w:val="18"/>
                <w:szCs w:val="18"/>
              </w:rPr>
              <w:t xml:space="preserve">The tentative estimates for the Six (6) nos. State Govt. Farms (2 nos. as Base Pig Breeding Farms and 4 nos. as Multiplication Farms) for the purpose of Repairing/Renovation works sanctioned from Govt. (both Central and State shares). </w:t>
            </w:r>
            <w:r w:rsidRPr="00EC74D2">
              <w:rPr>
                <w:rFonts w:ascii="Arial Narrow" w:hAnsi="Arial Narrow" w:cs="Arial"/>
                <w:b/>
                <w:sz w:val="18"/>
                <w:szCs w:val="18"/>
              </w:rPr>
              <w:t xml:space="preserve">The estimate of the Civil Works part only for </w:t>
            </w:r>
            <w:proofErr w:type="gramStart"/>
            <w:r w:rsidRPr="00EC74D2">
              <w:rPr>
                <w:rFonts w:ascii="Arial Narrow" w:hAnsi="Arial Narrow" w:cs="Arial"/>
                <w:b/>
                <w:sz w:val="18"/>
                <w:szCs w:val="18"/>
              </w:rPr>
              <w:t>the  4</w:t>
            </w:r>
            <w:proofErr w:type="gramEnd"/>
            <w:r w:rsidRPr="00EC74D2">
              <w:rPr>
                <w:rFonts w:ascii="Arial Narrow" w:hAnsi="Arial Narrow" w:cs="Arial"/>
                <w:b/>
                <w:sz w:val="18"/>
                <w:szCs w:val="18"/>
              </w:rPr>
              <w:t xml:space="preserve"> (four)  nos. Multiplication Pig Breeding Farms out of total amount of approved amount of Rs 95.56 </w:t>
            </w:r>
            <w:proofErr w:type="spellStart"/>
            <w:r w:rsidRPr="00EC74D2">
              <w:rPr>
                <w:rFonts w:ascii="Arial Narrow" w:hAnsi="Arial Narrow" w:cs="Arial"/>
                <w:b/>
                <w:sz w:val="18"/>
                <w:szCs w:val="18"/>
              </w:rPr>
              <w:t>lakh</w:t>
            </w:r>
            <w:proofErr w:type="spellEnd"/>
            <w:r w:rsidRPr="00EC74D2">
              <w:rPr>
                <w:rFonts w:ascii="Arial Narrow" w:hAnsi="Arial Narrow" w:cs="Arial"/>
                <w:b/>
                <w:sz w:val="18"/>
                <w:szCs w:val="18"/>
              </w:rPr>
              <w:t xml:space="preserve"> for Repairing/Renovation are –</w:t>
            </w:r>
          </w:p>
          <w:p w:rsidR="00A92DBA" w:rsidRPr="00EC74D2" w:rsidRDefault="00A92DBA" w:rsidP="0030470F">
            <w:pPr>
              <w:jc w:val="both"/>
              <w:rPr>
                <w:rFonts w:ascii="Arial Narrow" w:hAnsi="Arial Narrow" w:cs="Arial"/>
                <w:b/>
                <w:sz w:val="18"/>
                <w:szCs w:val="18"/>
              </w:rPr>
            </w:pPr>
            <w:r w:rsidRPr="00EC74D2">
              <w:rPr>
                <w:rFonts w:ascii="Arial Narrow" w:hAnsi="Arial Narrow" w:cs="Arial"/>
                <w:b/>
                <w:sz w:val="18"/>
                <w:szCs w:val="18"/>
              </w:rPr>
              <w:t xml:space="preserve"> </w:t>
            </w:r>
          </w:p>
          <w:p w:rsidR="00A92DBA" w:rsidRPr="00EC74D2" w:rsidRDefault="00A92DBA" w:rsidP="0030470F">
            <w:pPr>
              <w:jc w:val="both"/>
              <w:rPr>
                <w:rFonts w:ascii="Arial Narrow" w:hAnsi="Arial Narrow" w:cs="Arial"/>
                <w:b/>
                <w:sz w:val="18"/>
                <w:szCs w:val="18"/>
              </w:rPr>
            </w:pPr>
            <w:r w:rsidRPr="00EC74D2">
              <w:rPr>
                <w:rFonts w:ascii="Arial Narrow" w:hAnsi="Arial Narrow" w:cs="Arial"/>
                <w:b/>
                <w:sz w:val="18"/>
                <w:szCs w:val="18"/>
              </w:rPr>
              <w:t>Sl. no.</w:t>
            </w:r>
            <w:r w:rsidRPr="00EC74D2">
              <w:rPr>
                <w:rFonts w:ascii="Arial Narrow" w:hAnsi="Arial Narrow" w:cs="Arial"/>
                <w:b/>
                <w:sz w:val="18"/>
                <w:szCs w:val="18"/>
              </w:rPr>
              <w:tab/>
              <w:t>Name of Govt, Pig Breeding Farms             Amount</w:t>
            </w:r>
          </w:p>
          <w:p w:rsidR="00A92DBA" w:rsidRPr="00EC74D2" w:rsidRDefault="00A92DBA" w:rsidP="0030470F">
            <w:pPr>
              <w:jc w:val="both"/>
              <w:rPr>
                <w:rFonts w:ascii="Arial Narrow" w:hAnsi="Arial Narrow" w:cs="Arial"/>
                <w:b/>
                <w:sz w:val="18"/>
                <w:szCs w:val="18"/>
              </w:rPr>
            </w:pPr>
            <w:r w:rsidRPr="00EC74D2">
              <w:rPr>
                <w:rFonts w:ascii="Arial Narrow" w:hAnsi="Arial Narrow" w:cs="Arial"/>
                <w:b/>
                <w:sz w:val="18"/>
                <w:szCs w:val="18"/>
              </w:rPr>
              <w:t xml:space="preserve">                                                                              (Rs in </w:t>
            </w:r>
            <w:proofErr w:type="spellStart"/>
            <w:r w:rsidRPr="00EC74D2">
              <w:rPr>
                <w:rFonts w:ascii="Arial Narrow" w:hAnsi="Arial Narrow" w:cs="Arial"/>
                <w:b/>
                <w:sz w:val="18"/>
                <w:szCs w:val="18"/>
              </w:rPr>
              <w:t>Lakh</w:t>
            </w:r>
            <w:proofErr w:type="spellEnd"/>
            <w:r w:rsidRPr="00EC74D2">
              <w:rPr>
                <w:rFonts w:ascii="Arial Narrow" w:hAnsi="Arial Narrow" w:cs="Arial"/>
                <w:b/>
                <w:sz w:val="18"/>
                <w:szCs w:val="18"/>
              </w:rPr>
              <w:t>)</w:t>
            </w:r>
          </w:p>
          <w:p w:rsidR="00A92DBA" w:rsidRPr="00EC74D2" w:rsidRDefault="00A92DBA" w:rsidP="0030470F">
            <w:pPr>
              <w:ind w:left="1440" w:hanging="1264"/>
              <w:jc w:val="both"/>
              <w:rPr>
                <w:rFonts w:ascii="Arial Narrow" w:hAnsi="Arial Narrow" w:cs="Arial"/>
                <w:sz w:val="18"/>
                <w:szCs w:val="18"/>
              </w:rPr>
            </w:pPr>
            <w:r w:rsidRPr="00EC74D2">
              <w:rPr>
                <w:rFonts w:ascii="Arial Narrow" w:hAnsi="Arial Narrow" w:cs="Arial"/>
                <w:sz w:val="18"/>
                <w:szCs w:val="18"/>
              </w:rPr>
              <w:t xml:space="preserve">1. Govt. Pig Farm, </w:t>
            </w:r>
            <w:proofErr w:type="spellStart"/>
            <w:r w:rsidRPr="00EC74D2">
              <w:rPr>
                <w:rFonts w:ascii="Arial Narrow" w:hAnsi="Arial Narrow" w:cs="Arial"/>
                <w:sz w:val="18"/>
                <w:szCs w:val="18"/>
              </w:rPr>
              <w:t>Kuchdhowa</w:t>
            </w:r>
            <w:proofErr w:type="spellEnd"/>
            <w:r w:rsidRPr="00EC74D2">
              <w:rPr>
                <w:rFonts w:ascii="Arial Narrow" w:hAnsi="Arial Narrow" w:cs="Arial"/>
                <w:sz w:val="18"/>
                <w:szCs w:val="18"/>
              </w:rPr>
              <w:t xml:space="preserve">, </w:t>
            </w:r>
            <w:proofErr w:type="spellStart"/>
            <w:r w:rsidRPr="00EC74D2">
              <w:rPr>
                <w:rFonts w:ascii="Arial Narrow" w:hAnsi="Arial Narrow" w:cs="Arial"/>
                <w:sz w:val="18"/>
                <w:szCs w:val="18"/>
              </w:rPr>
              <w:t>Goalpara</w:t>
            </w:r>
            <w:proofErr w:type="spellEnd"/>
            <w:r w:rsidRPr="00EC74D2">
              <w:rPr>
                <w:rFonts w:ascii="Arial Narrow" w:hAnsi="Arial Narrow" w:cs="Arial"/>
                <w:sz w:val="18"/>
                <w:szCs w:val="18"/>
              </w:rPr>
              <w:tab/>
              <w:t xml:space="preserve"> </w:t>
            </w:r>
            <w:r>
              <w:rPr>
                <w:rFonts w:ascii="Arial Narrow" w:hAnsi="Arial Narrow" w:cs="Arial"/>
                <w:sz w:val="18"/>
                <w:szCs w:val="18"/>
              </w:rPr>
              <w:t xml:space="preserve">                  </w:t>
            </w:r>
            <w:r w:rsidRPr="00EC74D2">
              <w:rPr>
                <w:rFonts w:ascii="Arial Narrow" w:hAnsi="Arial Narrow" w:cs="Arial"/>
                <w:sz w:val="18"/>
                <w:szCs w:val="18"/>
              </w:rPr>
              <w:t xml:space="preserve"> 5.70</w:t>
            </w:r>
          </w:p>
          <w:p w:rsidR="00A92DBA" w:rsidRPr="00EC74D2" w:rsidRDefault="00A92DBA" w:rsidP="0030470F">
            <w:pPr>
              <w:ind w:left="720" w:hanging="544"/>
              <w:jc w:val="both"/>
              <w:rPr>
                <w:rFonts w:ascii="Arial Narrow" w:hAnsi="Arial Narrow" w:cs="Arial"/>
                <w:sz w:val="18"/>
                <w:szCs w:val="18"/>
              </w:rPr>
            </w:pPr>
            <w:r w:rsidRPr="00EC74D2">
              <w:rPr>
                <w:rFonts w:ascii="Arial Narrow" w:hAnsi="Arial Narrow" w:cs="Arial"/>
                <w:sz w:val="18"/>
                <w:szCs w:val="18"/>
              </w:rPr>
              <w:t xml:space="preserve">2. Govt. Pig Farm, </w:t>
            </w:r>
            <w:proofErr w:type="spellStart"/>
            <w:r w:rsidRPr="00EC74D2">
              <w:rPr>
                <w:rFonts w:ascii="Arial Narrow" w:hAnsi="Arial Narrow" w:cs="Arial"/>
                <w:sz w:val="18"/>
                <w:szCs w:val="18"/>
              </w:rPr>
              <w:t>Khanikar</w:t>
            </w:r>
            <w:proofErr w:type="spellEnd"/>
            <w:r w:rsidRPr="00EC74D2">
              <w:rPr>
                <w:rFonts w:ascii="Arial Narrow" w:hAnsi="Arial Narrow" w:cs="Arial"/>
                <w:sz w:val="18"/>
                <w:szCs w:val="18"/>
              </w:rPr>
              <w:t xml:space="preserve">, </w:t>
            </w:r>
            <w:proofErr w:type="spellStart"/>
            <w:r w:rsidRPr="00EC74D2">
              <w:rPr>
                <w:rFonts w:ascii="Arial Narrow" w:hAnsi="Arial Narrow" w:cs="Arial"/>
                <w:sz w:val="18"/>
                <w:szCs w:val="18"/>
              </w:rPr>
              <w:t>Dibrugarh</w:t>
            </w:r>
            <w:proofErr w:type="spellEnd"/>
            <w:r w:rsidRPr="00EC74D2">
              <w:rPr>
                <w:rFonts w:ascii="Arial Narrow" w:hAnsi="Arial Narrow" w:cs="Arial"/>
                <w:sz w:val="18"/>
                <w:szCs w:val="18"/>
              </w:rPr>
              <w:tab/>
              <w:t xml:space="preserve">  </w:t>
            </w:r>
            <w:r>
              <w:rPr>
                <w:rFonts w:ascii="Arial Narrow" w:hAnsi="Arial Narrow" w:cs="Arial"/>
                <w:sz w:val="18"/>
                <w:szCs w:val="18"/>
              </w:rPr>
              <w:t xml:space="preserve">                  </w:t>
            </w:r>
            <w:r w:rsidRPr="00EC74D2">
              <w:rPr>
                <w:rFonts w:ascii="Arial Narrow" w:hAnsi="Arial Narrow" w:cs="Arial"/>
                <w:sz w:val="18"/>
                <w:szCs w:val="18"/>
              </w:rPr>
              <w:t>5.70</w:t>
            </w:r>
          </w:p>
          <w:p w:rsidR="00A92DBA" w:rsidRPr="00EC74D2" w:rsidRDefault="00A92DBA" w:rsidP="0030470F">
            <w:pPr>
              <w:ind w:left="720" w:hanging="544"/>
              <w:jc w:val="both"/>
              <w:rPr>
                <w:rFonts w:ascii="Arial Narrow" w:hAnsi="Arial Narrow" w:cs="Arial"/>
                <w:sz w:val="18"/>
                <w:szCs w:val="18"/>
              </w:rPr>
            </w:pPr>
            <w:r w:rsidRPr="00EC74D2">
              <w:rPr>
                <w:rFonts w:ascii="Arial Narrow" w:hAnsi="Arial Narrow" w:cs="Arial"/>
                <w:sz w:val="18"/>
                <w:szCs w:val="18"/>
              </w:rPr>
              <w:t xml:space="preserve">3. Govt. Pig Farm, </w:t>
            </w:r>
            <w:proofErr w:type="spellStart"/>
            <w:r w:rsidRPr="00EC74D2">
              <w:rPr>
                <w:rFonts w:ascii="Arial Narrow" w:hAnsi="Arial Narrow" w:cs="Arial"/>
                <w:sz w:val="18"/>
                <w:szCs w:val="18"/>
              </w:rPr>
              <w:t>Bajalbari</w:t>
            </w:r>
            <w:proofErr w:type="spellEnd"/>
            <w:r w:rsidRPr="00EC74D2">
              <w:rPr>
                <w:rFonts w:ascii="Arial Narrow" w:hAnsi="Arial Narrow" w:cs="Arial"/>
                <w:sz w:val="18"/>
                <w:szCs w:val="18"/>
              </w:rPr>
              <w:t xml:space="preserve"> (</w:t>
            </w:r>
            <w:proofErr w:type="spellStart"/>
            <w:r w:rsidRPr="00EC74D2">
              <w:rPr>
                <w:rFonts w:ascii="Arial Narrow" w:hAnsi="Arial Narrow" w:cs="Arial"/>
                <w:sz w:val="18"/>
                <w:szCs w:val="18"/>
              </w:rPr>
              <w:t>Titabor</w:t>
            </w:r>
            <w:proofErr w:type="spellEnd"/>
            <w:r w:rsidRPr="00EC74D2">
              <w:rPr>
                <w:rFonts w:ascii="Arial Narrow" w:hAnsi="Arial Narrow" w:cs="Arial"/>
                <w:sz w:val="18"/>
                <w:szCs w:val="18"/>
              </w:rPr>
              <w:t xml:space="preserve">), </w:t>
            </w:r>
            <w:proofErr w:type="spellStart"/>
            <w:r w:rsidRPr="00EC74D2">
              <w:rPr>
                <w:rFonts w:ascii="Arial Narrow" w:hAnsi="Arial Narrow" w:cs="Arial"/>
                <w:sz w:val="18"/>
                <w:szCs w:val="18"/>
              </w:rPr>
              <w:t>Jorhat</w:t>
            </w:r>
            <w:proofErr w:type="spellEnd"/>
            <w:r w:rsidRPr="00EC74D2">
              <w:rPr>
                <w:rFonts w:ascii="Arial Narrow" w:hAnsi="Arial Narrow" w:cs="Arial"/>
                <w:sz w:val="18"/>
                <w:szCs w:val="18"/>
              </w:rPr>
              <w:tab/>
              <w:t xml:space="preserve">  5.70</w:t>
            </w:r>
          </w:p>
          <w:p w:rsidR="00A92DBA" w:rsidRPr="00EC74D2" w:rsidRDefault="00A92DBA" w:rsidP="0030470F">
            <w:pPr>
              <w:ind w:left="720" w:hanging="544"/>
              <w:jc w:val="both"/>
              <w:rPr>
                <w:rFonts w:ascii="Arial Narrow" w:hAnsi="Arial Narrow" w:cs="Arial"/>
                <w:sz w:val="18"/>
                <w:szCs w:val="18"/>
                <w:u w:val="single"/>
              </w:rPr>
            </w:pPr>
            <w:r w:rsidRPr="00EC74D2">
              <w:rPr>
                <w:rFonts w:ascii="Arial Narrow" w:hAnsi="Arial Narrow" w:cs="Arial"/>
                <w:sz w:val="18"/>
                <w:szCs w:val="18"/>
              </w:rPr>
              <w:t xml:space="preserve">4.Govt. Pig Farm, </w:t>
            </w:r>
            <w:proofErr w:type="spellStart"/>
            <w:r w:rsidRPr="00EC74D2">
              <w:rPr>
                <w:rFonts w:ascii="Arial Narrow" w:hAnsi="Arial Narrow" w:cs="Arial"/>
                <w:sz w:val="18"/>
                <w:szCs w:val="18"/>
                <w:u w:val="single"/>
              </w:rPr>
              <w:t>Kathiatoli</w:t>
            </w:r>
            <w:proofErr w:type="spellEnd"/>
            <w:r w:rsidRPr="00EC74D2">
              <w:rPr>
                <w:rFonts w:ascii="Arial Narrow" w:hAnsi="Arial Narrow" w:cs="Arial"/>
                <w:sz w:val="18"/>
                <w:szCs w:val="18"/>
                <w:u w:val="single"/>
              </w:rPr>
              <w:t xml:space="preserve">, </w:t>
            </w:r>
            <w:proofErr w:type="spellStart"/>
            <w:r w:rsidRPr="00EC74D2">
              <w:rPr>
                <w:rFonts w:ascii="Arial Narrow" w:hAnsi="Arial Narrow" w:cs="Arial"/>
                <w:sz w:val="18"/>
                <w:szCs w:val="18"/>
                <w:u w:val="single"/>
              </w:rPr>
              <w:t>Nagaon</w:t>
            </w:r>
            <w:proofErr w:type="spellEnd"/>
            <w:r w:rsidRPr="00EC74D2">
              <w:rPr>
                <w:rFonts w:ascii="Arial Narrow" w:hAnsi="Arial Narrow" w:cs="Arial"/>
                <w:sz w:val="18"/>
                <w:szCs w:val="18"/>
                <w:u w:val="single"/>
              </w:rPr>
              <w:t xml:space="preserve">    </w:t>
            </w:r>
            <w:r w:rsidRPr="00EC74D2">
              <w:rPr>
                <w:rFonts w:ascii="Arial Narrow" w:hAnsi="Arial Narrow" w:cs="Arial"/>
                <w:sz w:val="18"/>
                <w:szCs w:val="18"/>
                <w:u w:val="single"/>
              </w:rPr>
              <w:tab/>
            </w:r>
            <w:r>
              <w:rPr>
                <w:rFonts w:ascii="Arial Narrow" w:hAnsi="Arial Narrow" w:cs="Arial"/>
                <w:sz w:val="18"/>
                <w:szCs w:val="18"/>
                <w:u w:val="single"/>
              </w:rPr>
              <w:t xml:space="preserve">                 </w:t>
            </w:r>
            <w:r w:rsidRPr="00EC74D2">
              <w:rPr>
                <w:rFonts w:ascii="Arial Narrow" w:hAnsi="Arial Narrow" w:cs="Arial"/>
                <w:sz w:val="18"/>
                <w:szCs w:val="18"/>
                <w:u w:val="single"/>
              </w:rPr>
              <w:t xml:space="preserve">  6.175</w:t>
            </w:r>
          </w:p>
          <w:p w:rsidR="00A92DBA" w:rsidRPr="00EC74D2" w:rsidRDefault="00A92DBA" w:rsidP="0030470F">
            <w:pPr>
              <w:ind w:left="1440" w:hanging="720"/>
              <w:jc w:val="both"/>
              <w:rPr>
                <w:rFonts w:ascii="Arial Narrow" w:hAnsi="Arial Narrow" w:cs="Arial"/>
                <w:b/>
                <w:sz w:val="18"/>
                <w:szCs w:val="18"/>
                <w:u w:val="single"/>
              </w:rPr>
            </w:pPr>
            <w:r>
              <w:rPr>
                <w:rFonts w:ascii="Arial Narrow" w:hAnsi="Arial Narrow" w:cs="Arial"/>
                <w:sz w:val="18"/>
                <w:szCs w:val="18"/>
              </w:rPr>
              <w:t>T</w:t>
            </w:r>
            <w:r w:rsidRPr="00EC74D2">
              <w:rPr>
                <w:rFonts w:ascii="Arial Narrow" w:hAnsi="Arial Narrow" w:cs="Arial"/>
                <w:b/>
                <w:sz w:val="18"/>
                <w:szCs w:val="18"/>
                <w:u w:val="single"/>
              </w:rPr>
              <w:t>otal</w:t>
            </w:r>
            <w:r w:rsidRPr="00EC74D2">
              <w:rPr>
                <w:rFonts w:ascii="Arial Narrow" w:hAnsi="Arial Narrow" w:cs="Arial"/>
                <w:b/>
                <w:sz w:val="18"/>
                <w:szCs w:val="18"/>
                <w:u w:val="single"/>
              </w:rPr>
              <w:tab/>
            </w:r>
            <w:r w:rsidRPr="00EC74D2">
              <w:rPr>
                <w:rFonts w:ascii="Arial Narrow" w:hAnsi="Arial Narrow" w:cs="Arial"/>
                <w:b/>
                <w:sz w:val="18"/>
                <w:szCs w:val="18"/>
                <w:u w:val="single"/>
              </w:rPr>
              <w:tab/>
            </w:r>
            <w:r w:rsidRPr="00EC74D2">
              <w:rPr>
                <w:rFonts w:ascii="Arial Narrow" w:hAnsi="Arial Narrow" w:cs="Arial"/>
                <w:b/>
                <w:sz w:val="18"/>
                <w:szCs w:val="18"/>
                <w:u w:val="single"/>
              </w:rPr>
              <w:tab/>
            </w:r>
            <w:r>
              <w:rPr>
                <w:rFonts w:ascii="Arial Narrow" w:hAnsi="Arial Narrow" w:cs="Arial"/>
                <w:b/>
                <w:sz w:val="18"/>
                <w:szCs w:val="18"/>
                <w:u w:val="single"/>
              </w:rPr>
              <w:t xml:space="preserve">                </w:t>
            </w:r>
            <w:r w:rsidRPr="00EC74D2">
              <w:rPr>
                <w:rFonts w:ascii="Arial Narrow" w:hAnsi="Arial Narrow" w:cs="Arial"/>
                <w:b/>
                <w:sz w:val="18"/>
                <w:szCs w:val="18"/>
                <w:u w:val="single"/>
              </w:rPr>
              <w:t>35.198</w:t>
            </w:r>
          </w:p>
          <w:p w:rsidR="00A92DBA" w:rsidRPr="00EC74D2" w:rsidRDefault="00A92DBA" w:rsidP="0030470F">
            <w:pPr>
              <w:jc w:val="both"/>
              <w:rPr>
                <w:rFonts w:ascii="Arial Narrow" w:hAnsi="Arial Narrow" w:cs="Arial"/>
                <w:b/>
                <w:sz w:val="18"/>
                <w:szCs w:val="18"/>
                <w:u w:val="single"/>
              </w:rPr>
            </w:pPr>
          </w:p>
          <w:p w:rsidR="00A92DBA" w:rsidRPr="00EC74D2" w:rsidRDefault="00A92DBA" w:rsidP="0030470F">
            <w:pPr>
              <w:jc w:val="both"/>
              <w:rPr>
                <w:rFonts w:ascii="Arial Narrow" w:hAnsi="Arial Narrow" w:cs="Arial"/>
                <w:sz w:val="18"/>
                <w:szCs w:val="18"/>
              </w:rPr>
            </w:pPr>
          </w:p>
        </w:tc>
        <w:tc>
          <w:tcPr>
            <w:tcW w:w="3600" w:type="dxa"/>
          </w:tcPr>
          <w:p w:rsidR="00A92DBA" w:rsidRPr="00EC74D2" w:rsidRDefault="00A92DBA" w:rsidP="0030470F">
            <w:pPr>
              <w:jc w:val="both"/>
              <w:rPr>
                <w:rFonts w:ascii="Arial Narrow" w:hAnsi="Arial Narrow" w:cs="Arial"/>
                <w:b/>
                <w:sz w:val="18"/>
                <w:szCs w:val="18"/>
              </w:rPr>
            </w:pPr>
            <w:r w:rsidRPr="00EC74D2">
              <w:rPr>
                <w:rFonts w:ascii="Arial Narrow" w:hAnsi="Arial Narrow" w:cs="Arial"/>
                <w:sz w:val="18"/>
                <w:szCs w:val="18"/>
              </w:rPr>
              <w:t xml:space="preserve">Total Estimated Cost Rs 157.34 </w:t>
            </w:r>
            <w:proofErr w:type="spellStart"/>
            <w:r w:rsidRPr="00EC74D2">
              <w:rPr>
                <w:rFonts w:ascii="Arial Narrow" w:hAnsi="Arial Narrow" w:cs="Arial"/>
                <w:sz w:val="18"/>
                <w:szCs w:val="18"/>
              </w:rPr>
              <w:t>Lakh</w:t>
            </w:r>
            <w:proofErr w:type="spellEnd"/>
            <w:r w:rsidRPr="00EC74D2">
              <w:rPr>
                <w:rFonts w:ascii="Arial Narrow" w:hAnsi="Arial Narrow" w:cs="Arial"/>
                <w:sz w:val="18"/>
                <w:szCs w:val="18"/>
              </w:rPr>
              <w:t xml:space="preserve"> for the particular component submitted under 2014-15 </w:t>
            </w:r>
            <w:r w:rsidRPr="00EC74D2">
              <w:rPr>
                <w:rFonts w:ascii="Arial Narrow" w:hAnsi="Arial Narrow" w:cs="Arial"/>
                <w:b/>
                <w:sz w:val="18"/>
                <w:szCs w:val="18"/>
              </w:rPr>
              <w:t>(Annexure-7).</w:t>
            </w:r>
          </w:p>
          <w:p w:rsidR="00A92DBA" w:rsidRPr="00EC74D2" w:rsidRDefault="00A92DBA" w:rsidP="0030470F">
            <w:pPr>
              <w:jc w:val="both"/>
              <w:rPr>
                <w:rFonts w:ascii="Arial Narrow" w:hAnsi="Arial Narrow" w:cs="Arial"/>
                <w:sz w:val="18"/>
                <w:szCs w:val="18"/>
              </w:rPr>
            </w:pPr>
          </w:p>
          <w:p w:rsidR="00A92DBA" w:rsidRPr="00EC74D2" w:rsidRDefault="00A92DBA" w:rsidP="0030470F">
            <w:pPr>
              <w:jc w:val="both"/>
              <w:rPr>
                <w:rFonts w:ascii="Arial Narrow" w:hAnsi="Arial Narrow" w:cs="Arial"/>
                <w:b/>
                <w:sz w:val="18"/>
                <w:szCs w:val="18"/>
              </w:rPr>
            </w:pPr>
            <w:r w:rsidRPr="00EC74D2">
              <w:rPr>
                <w:rFonts w:ascii="Arial Narrow" w:hAnsi="Arial Narrow" w:cs="Arial"/>
                <w:b/>
                <w:sz w:val="18"/>
                <w:szCs w:val="18"/>
              </w:rPr>
              <w:t>Amount approved under 1</w:t>
            </w:r>
            <w:r w:rsidRPr="00EC74D2">
              <w:rPr>
                <w:rFonts w:ascii="Arial Narrow" w:hAnsi="Arial Narrow" w:cs="Arial"/>
                <w:b/>
                <w:sz w:val="18"/>
                <w:szCs w:val="18"/>
                <w:vertAlign w:val="superscript"/>
              </w:rPr>
              <w:t>st</w:t>
            </w:r>
            <w:r w:rsidRPr="00EC74D2">
              <w:rPr>
                <w:rFonts w:ascii="Arial Narrow" w:hAnsi="Arial Narrow" w:cs="Arial"/>
                <w:b/>
                <w:sz w:val="18"/>
                <w:szCs w:val="18"/>
              </w:rPr>
              <w:t xml:space="preserve"> instalment Rs 135.50 </w:t>
            </w:r>
            <w:proofErr w:type="spellStart"/>
            <w:r w:rsidRPr="00EC74D2">
              <w:rPr>
                <w:rFonts w:ascii="Arial Narrow" w:hAnsi="Arial Narrow" w:cs="Arial"/>
                <w:b/>
                <w:sz w:val="18"/>
                <w:szCs w:val="18"/>
              </w:rPr>
              <w:t>lakh</w:t>
            </w:r>
            <w:proofErr w:type="spellEnd"/>
            <w:r w:rsidRPr="00EC74D2">
              <w:rPr>
                <w:rFonts w:ascii="Arial Narrow" w:hAnsi="Arial Narrow" w:cs="Arial"/>
                <w:b/>
                <w:sz w:val="18"/>
                <w:szCs w:val="18"/>
              </w:rPr>
              <w:t xml:space="preserve"> (Rs 121.95 </w:t>
            </w:r>
            <w:proofErr w:type="spellStart"/>
            <w:r w:rsidRPr="00EC74D2">
              <w:rPr>
                <w:rFonts w:ascii="Arial Narrow" w:hAnsi="Arial Narrow" w:cs="Arial"/>
                <w:b/>
                <w:sz w:val="18"/>
                <w:szCs w:val="18"/>
              </w:rPr>
              <w:t>lakh</w:t>
            </w:r>
            <w:proofErr w:type="spellEnd"/>
            <w:r w:rsidRPr="00EC74D2">
              <w:rPr>
                <w:rFonts w:ascii="Arial Narrow" w:hAnsi="Arial Narrow" w:cs="Arial"/>
                <w:b/>
                <w:sz w:val="18"/>
                <w:szCs w:val="18"/>
              </w:rPr>
              <w:t xml:space="preserve"> as Central share and Rs 13.55 as State share)</w:t>
            </w:r>
            <w:proofErr w:type="gramStart"/>
            <w:r w:rsidRPr="00EC74D2">
              <w:rPr>
                <w:rFonts w:ascii="Arial Narrow" w:hAnsi="Arial Narrow" w:cs="Arial"/>
                <w:b/>
                <w:sz w:val="18"/>
                <w:szCs w:val="18"/>
              </w:rPr>
              <w:t>.(</w:t>
            </w:r>
            <w:proofErr w:type="gramEnd"/>
            <w:r w:rsidRPr="00EC74D2">
              <w:rPr>
                <w:rFonts w:ascii="Arial Narrow" w:hAnsi="Arial Narrow" w:cs="Arial"/>
                <w:b/>
                <w:sz w:val="18"/>
                <w:szCs w:val="18"/>
              </w:rPr>
              <w:t>Annexure-4).</w:t>
            </w:r>
          </w:p>
          <w:p w:rsidR="00A92DBA" w:rsidRPr="00EC74D2" w:rsidRDefault="00A92DBA" w:rsidP="0030470F">
            <w:pPr>
              <w:jc w:val="both"/>
              <w:rPr>
                <w:rFonts w:ascii="Arial Narrow" w:hAnsi="Arial Narrow" w:cs="Arial"/>
                <w:sz w:val="18"/>
                <w:szCs w:val="18"/>
              </w:rPr>
            </w:pPr>
          </w:p>
          <w:p w:rsidR="00A92DBA" w:rsidRPr="00EC74D2" w:rsidRDefault="00A92DBA" w:rsidP="0030470F">
            <w:pPr>
              <w:jc w:val="both"/>
              <w:rPr>
                <w:rFonts w:ascii="Arial Narrow" w:hAnsi="Arial Narrow" w:cs="Arial"/>
                <w:sz w:val="18"/>
                <w:szCs w:val="18"/>
              </w:rPr>
            </w:pPr>
            <w:r w:rsidRPr="00EC74D2">
              <w:rPr>
                <w:rFonts w:ascii="Arial Narrow" w:hAnsi="Arial Narrow" w:cs="Arial"/>
                <w:sz w:val="18"/>
                <w:szCs w:val="18"/>
              </w:rPr>
              <w:t>The estimated cost of Civil Works is enclosed</w:t>
            </w:r>
            <w:r w:rsidRPr="00EC74D2">
              <w:rPr>
                <w:rFonts w:ascii="Arial Narrow" w:hAnsi="Arial Narrow" w:cs="Arial"/>
                <w:b/>
                <w:sz w:val="18"/>
                <w:szCs w:val="18"/>
              </w:rPr>
              <w:t xml:space="preserve"> (Annexure-5)</w:t>
            </w:r>
          </w:p>
          <w:p w:rsidR="00A92DBA" w:rsidRPr="00EC74D2" w:rsidRDefault="00A92DBA" w:rsidP="0030470F">
            <w:pPr>
              <w:rPr>
                <w:rFonts w:ascii="Arial Narrow" w:hAnsi="Arial Narrow" w:cs="Arial"/>
                <w:sz w:val="18"/>
                <w:szCs w:val="18"/>
              </w:rPr>
            </w:pPr>
          </w:p>
          <w:p w:rsidR="00A92DBA" w:rsidRPr="00EC74D2" w:rsidRDefault="00A92DBA" w:rsidP="0030470F">
            <w:pPr>
              <w:rPr>
                <w:rFonts w:ascii="Arial Narrow" w:hAnsi="Arial Narrow" w:cs="Arial"/>
                <w:sz w:val="18"/>
                <w:szCs w:val="18"/>
              </w:rPr>
            </w:pPr>
          </w:p>
          <w:p w:rsidR="00A92DBA" w:rsidRPr="00EC74D2" w:rsidRDefault="00A92DBA" w:rsidP="0030470F">
            <w:pPr>
              <w:jc w:val="both"/>
              <w:rPr>
                <w:rFonts w:ascii="Arial Narrow" w:hAnsi="Arial Narrow" w:cs="Arial"/>
                <w:sz w:val="18"/>
                <w:szCs w:val="18"/>
              </w:rPr>
            </w:pPr>
            <w:r w:rsidRPr="00EC74D2">
              <w:rPr>
                <w:rFonts w:ascii="Arial Narrow" w:hAnsi="Arial Narrow" w:cs="Arial"/>
                <w:sz w:val="18"/>
                <w:szCs w:val="18"/>
              </w:rPr>
              <w:t>Further, as per approval of 2</w:t>
            </w:r>
            <w:r w:rsidRPr="00EC74D2">
              <w:rPr>
                <w:rFonts w:ascii="Arial Narrow" w:hAnsi="Arial Narrow" w:cs="Arial"/>
                <w:sz w:val="18"/>
                <w:szCs w:val="18"/>
                <w:vertAlign w:val="superscript"/>
              </w:rPr>
              <w:t>nd</w:t>
            </w:r>
            <w:r w:rsidRPr="00EC74D2">
              <w:rPr>
                <w:rFonts w:ascii="Arial Narrow" w:hAnsi="Arial Narrow" w:cs="Arial"/>
                <w:sz w:val="18"/>
                <w:szCs w:val="18"/>
              </w:rPr>
              <w:t xml:space="preserve"> SLEC, NLM held on 09.11.2015 at </w:t>
            </w:r>
            <w:proofErr w:type="spellStart"/>
            <w:r w:rsidRPr="00EC74D2">
              <w:rPr>
                <w:rFonts w:ascii="Arial Narrow" w:hAnsi="Arial Narrow" w:cs="Arial"/>
                <w:sz w:val="18"/>
                <w:szCs w:val="18"/>
              </w:rPr>
              <w:t>Dispur</w:t>
            </w:r>
            <w:proofErr w:type="spellEnd"/>
            <w:r w:rsidRPr="00EC74D2">
              <w:rPr>
                <w:rFonts w:ascii="Arial Narrow" w:hAnsi="Arial Narrow" w:cs="Arial"/>
                <w:sz w:val="18"/>
                <w:szCs w:val="18"/>
              </w:rPr>
              <w:t xml:space="preserve">, support for operational cost to </w:t>
            </w:r>
            <w:r w:rsidRPr="00EC74D2">
              <w:rPr>
                <w:rFonts w:ascii="Arial Narrow" w:hAnsi="Arial Narrow" w:cs="Arial"/>
                <w:b/>
                <w:sz w:val="18"/>
                <w:szCs w:val="18"/>
              </w:rPr>
              <w:t>11 (eleven) nos. Govt. Pig Breeding farms (Annexure-8)</w:t>
            </w:r>
            <w:r w:rsidRPr="00EC74D2">
              <w:rPr>
                <w:rFonts w:ascii="Arial Narrow" w:hAnsi="Arial Narrow" w:cs="Arial"/>
                <w:sz w:val="18"/>
                <w:szCs w:val="18"/>
              </w:rPr>
              <w:t xml:space="preserve"> viz. animals, feeds, insurance cover and medicine from savings out of sanctioned fund to the 4(four) nos. Multiplication Pig Breeding farms amounting    </w:t>
            </w:r>
            <w:r w:rsidRPr="00EC74D2">
              <w:rPr>
                <w:rFonts w:ascii="Arial Narrow" w:hAnsi="Arial Narrow" w:cs="Arial"/>
                <w:b/>
                <w:sz w:val="18"/>
                <w:szCs w:val="18"/>
              </w:rPr>
              <w:t xml:space="preserve">Rs 89.965 </w:t>
            </w:r>
            <w:proofErr w:type="spellStart"/>
            <w:r w:rsidRPr="00EC74D2">
              <w:rPr>
                <w:rFonts w:ascii="Arial Narrow" w:hAnsi="Arial Narrow" w:cs="Arial"/>
                <w:b/>
                <w:sz w:val="18"/>
                <w:szCs w:val="18"/>
              </w:rPr>
              <w:t>lakh</w:t>
            </w:r>
            <w:proofErr w:type="spellEnd"/>
            <w:r w:rsidRPr="00EC74D2">
              <w:rPr>
                <w:rFonts w:ascii="Arial Narrow" w:hAnsi="Arial Narrow" w:cs="Arial"/>
                <w:b/>
                <w:sz w:val="18"/>
                <w:szCs w:val="18"/>
              </w:rPr>
              <w:t xml:space="preserve"> (Rs 135.50 – Rs 45.535.00</w:t>
            </w:r>
            <w:proofErr w:type="gramStart"/>
            <w:r w:rsidRPr="00EC74D2">
              <w:rPr>
                <w:rFonts w:ascii="Arial Narrow" w:hAnsi="Arial Narrow" w:cs="Arial"/>
                <w:b/>
                <w:sz w:val="18"/>
                <w:szCs w:val="18"/>
              </w:rPr>
              <w:t xml:space="preserve">)  </w:t>
            </w:r>
            <w:r w:rsidRPr="00EC74D2">
              <w:rPr>
                <w:rFonts w:ascii="Arial Narrow" w:hAnsi="Arial Narrow" w:cs="Arial"/>
                <w:sz w:val="18"/>
                <w:szCs w:val="18"/>
              </w:rPr>
              <w:t>may</w:t>
            </w:r>
            <w:proofErr w:type="gramEnd"/>
            <w:r w:rsidRPr="00EC74D2">
              <w:rPr>
                <w:rFonts w:ascii="Arial Narrow" w:hAnsi="Arial Narrow" w:cs="Arial"/>
                <w:sz w:val="18"/>
                <w:szCs w:val="18"/>
              </w:rPr>
              <w:t xml:space="preserve"> perhaps be utilized, It may be mentioned that </w:t>
            </w:r>
            <w:r w:rsidRPr="00EC74D2">
              <w:rPr>
                <w:rFonts w:ascii="Arial Narrow" w:hAnsi="Arial Narrow" w:cs="Arial"/>
                <w:b/>
                <w:bCs/>
                <w:sz w:val="18"/>
                <w:szCs w:val="18"/>
              </w:rPr>
              <w:t xml:space="preserve">the selected 11 (eleven) nos. Govt. Pig Breeding farms requires operational strengthening after being made ready for operational purpose with completion of infrastructure under financial assistance from other departmental schemes like RKVY, State Plan etc, and may be </w:t>
            </w:r>
            <w:proofErr w:type="spellStart"/>
            <w:r w:rsidRPr="00EC74D2">
              <w:rPr>
                <w:rFonts w:ascii="Arial Narrow" w:hAnsi="Arial Narrow" w:cs="Arial"/>
                <w:b/>
                <w:bCs/>
                <w:sz w:val="18"/>
                <w:szCs w:val="18"/>
              </w:rPr>
              <w:t>atleast</w:t>
            </w:r>
            <w:proofErr w:type="spellEnd"/>
            <w:r w:rsidRPr="00EC74D2">
              <w:rPr>
                <w:rFonts w:ascii="Arial Narrow" w:hAnsi="Arial Narrow" w:cs="Arial"/>
                <w:b/>
                <w:bCs/>
                <w:sz w:val="18"/>
                <w:szCs w:val="18"/>
              </w:rPr>
              <w:t xml:space="preserve"> limitedly strengthened for operational use with the utilization of the savings amount (Rs 89.965 </w:t>
            </w:r>
            <w:proofErr w:type="spellStart"/>
            <w:r w:rsidRPr="00EC74D2">
              <w:rPr>
                <w:rFonts w:ascii="Arial Narrow" w:hAnsi="Arial Narrow" w:cs="Arial"/>
                <w:b/>
                <w:bCs/>
                <w:sz w:val="18"/>
                <w:szCs w:val="18"/>
              </w:rPr>
              <w:t>Lakh</w:t>
            </w:r>
            <w:proofErr w:type="spellEnd"/>
            <w:r w:rsidRPr="00EC74D2">
              <w:rPr>
                <w:rFonts w:ascii="Arial Narrow" w:hAnsi="Arial Narrow" w:cs="Arial"/>
                <w:b/>
                <w:bCs/>
                <w:sz w:val="18"/>
                <w:szCs w:val="18"/>
              </w:rPr>
              <w:t>). The details are enclosed (Annexure-9</w:t>
            </w:r>
            <w:r w:rsidRPr="00EC74D2">
              <w:rPr>
                <w:rFonts w:ascii="Arial Narrow" w:hAnsi="Arial Narrow" w:cs="Arial"/>
                <w:b/>
                <w:sz w:val="18"/>
                <w:szCs w:val="18"/>
              </w:rPr>
              <w:t xml:space="preserve">) </w:t>
            </w:r>
          </w:p>
        </w:tc>
      </w:tr>
      <w:tr w:rsidR="00A92DBA" w:rsidRPr="00EC74D2" w:rsidTr="0030470F">
        <w:tc>
          <w:tcPr>
            <w:tcW w:w="450" w:type="dxa"/>
          </w:tcPr>
          <w:p w:rsidR="00A92DBA" w:rsidRPr="00EC74D2" w:rsidRDefault="00A92DBA" w:rsidP="0030470F">
            <w:pPr>
              <w:jc w:val="both"/>
              <w:rPr>
                <w:rFonts w:ascii="Arial Narrow" w:hAnsi="Arial Narrow" w:cs="Arial"/>
                <w:sz w:val="18"/>
                <w:szCs w:val="18"/>
              </w:rPr>
            </w:pPr>
          </w:p>
        </w:tc>
        <w:tc>
          <w:tcPr>
            <w:tcW w:w="1458" w:type="dxa"/>
          </w:tcPr>
          <w:p w:rsidR="00A92DBA" w:rsidRPr="00EC74D2" w:rsidRDefault="00A92DBA" w:rsidP="0030470F">
            <w:pPr>
              <w:jc w:val="both"/>
              <w:rPr>
                <w:rFonts w:ascii="Arial Narrow" w:hAnsi="Arial Narrow" w:cs="Arial"/>
                <w:sz w:val="18"/>
                <w:szCs w:val="18"/>
              </w:rPr>
            </w:pPr>
            <w:r w:rsidRPr="00EC74D2">
              <w:rPr>
                <w:rFonts w:ascii="Arial Narrow" w:hAnsi="Arial Narrow" w:cs="Arial"/>
                <w:sz w:val="18"/>
                <w:szCs w:val="18"/>
              </w:rPr>
              <w:t>IEC support for Livestock Extension</w:t>
            </w:r>
          </w:p>
          <w:p w:rsidR="00A92DBA" w:rsidRPr="00EC74D2" w:rsidRDefault="00A92DBA" w:rsidP="0030470F">
            <w:pPr>
              <w:jc w:val="both"/>
              <w:rPr>
                <w:rFonts w:ascii="Arial Narrow" w:hAnsi="Arial Narrow" w:cs="Arial"/>
                <w:sz w:val="18"/>
                <w:szCs w:val="18"/>
              </w:rPr>
            </w:pPr>
            <w:r w:rsidRPr="00EC74D2">
              <w:rPr>
                <w:rFonts w:ascii="Arial Narrow" w:hAnsi="Arial Narrow" w:cs="Arial"/>
                <w:sz w:val="18"/>
                <w:szCs w:val="18"/>
              </w:rPr>
              <w:t xml:space="preserve"> (Sub-Mission on Skill </w:t>
            </w:r>
            <w:proofErr w:type="spellStart"/>
            <w:r w:rsidRPr="00EC74D2">
              <w:rPr>
                <w:rFonts w:ascii="Arial Narrow" w:hAnsi="Arial Narrow" w:cs="Arial"/>
                <w:sz w:val="18"/>
                <w:szCs w:val="18"/>
              </w:rPr>
              <w:t>Dev.,Technology</w:t>
            </w:r>
            <w:proofErr w:type="spellEnd"/>
            <w:r w:rsidRPr="00EC74D2">
              <w:rPr>
                <w:rFonts w:ascii="Arial Narrow" w:hAnsi="Arial Narrow" w:cs="Arial"/>
                <w:sz w:val="18"/>
                <w:szCs w:val="18"/>
              </w:rPr>
              <w:t xml:space="preserve"> transfer &amp; Extension </w:t>
            </w:r>
          </w:p>
        </w:tc>
        <w:tc>
          <w:tcPr>
            <w:tcW w:w="1080" w:type="dxa"/>
          </w:tcPr>
          <w:p w:rsidR="00A92DBA" w:rsidRPr="00EC74D2" w:rsidRDefault="00A92DBA" w:rsidP="0030470F">
            <w:pPr>
              <w:tabs>
                <w:tab w:val="left" w:pos="630"/>
                <w:tab w:val="left" w:pos="990"/>
              </w:tabs>
              <w:jc w:val="right"/>
              <w:rPr>
                <w:rFonts w:ascii="Arial Narrow" w:hAnsi="Arial Narrow" w:cs="Arial"/>
                <w:sz w:val="18"/>
                <w:szCs w:val="18"/>
              </w:rPr>
            </w:pPr>
            <w:r w:rsidRPr="00EC74D2">
              <w:rPr>
                <w:rFonts w:ascii="Arial Narrow" w:hAnsi="Arial Narrow" w:cs="Arial"/>
                <w:sz w:val="18"/>
                <w:szCs w:val="18"/>
              </w:rPr>
              <w:t>44.24</w:t>
            </w:r>
          </w:p>
        </w:tc>
        <w:tc>
          <w:tcPr>
            <w:tcW w:w="1080" w:type="dxa"/>
          </w:tcPr>
          <w:p w:rsidR="00A92DBA" w:rsidRPr="00EC74D2" w:rsidRDefault="00A92DBA" w:rsidP="0030470F">
            <w:pPr>
              <w:tabs>
                <w:tab w:val="left" w:pos="630"/>
                <w:tab w:val="left" w:pos="990"/>
              </w:tabs>
              <w:jc w:val="right"/>
              <w:rPr>
                <w:rFonts w:ascii="Arial Narrow" w:hAnsi="Arial Narrow" w:cs="Arial"/>
                <w:sz w:val="18"/>
                <w:szCs w:val="18"/>
              </w:rPr>
            </w:pPr>
            <w:r w:rsidRPr="00EC74D2">
              <w:rPr>
                <w:rFonts w:ascii="Arial Narrow" w:hAnsi="Arial Narrow" w:cs="Arial"/>
                <w:sz w:val="18"/>
                <w:szCs w:val="18"/>
              </w:rPr>
              <w:t>14.74</w:t>
            </w:r>
          </w:p>
        </w:tc>
        <w:tc>
          <w:tcPr>
            <w:tcW w:w="999" w:type="dxa"/>
          </w:tcPr>
          <w:p w:rsidR="00A92DBA" w:rsidRPr="00EC74D2" w:rsidRDefault="00A92DBA" w:rsidP="0030470F">
            <w:pPr>
              <w:tabs>
                <w:tab w:val="left" w:pos="630"/>
                <w:tab w:val="left" w:pos="990"/>
              </w:tabs>
              <w:jc w:val="right"/>
              <w:rPr>
                <w:rFonts w:ascii="Arial Narrow" w:hAnsi="Arial Narrow" w:cs="Arial"/>
                <w:sz w:val="18"/>
                <w:szCs w:val="18"/>
              </w:rPr>
            </w:pPr>
            <w:r w:rsidRPr="00EC74D2">
              <w:rPr>
                <w:rFonts w:ascii="Arial Narrow" w:hAnsi="Arial Narrow" w:cs="Arial"/>
                <w:sz w:val="18"/>
                <w:szCs w:val="18"/>
              </w:rPr>
              <w:t>-</w:t>
            </w:r>
          </w:p>
        </w:tc>
        <w:tc>
          <w:tcPr>
            <w:tcW w:w="981" w:type="dxa"/>
          </w:tcPr>
          <w:p w:rsidR="00A92DBA" w:rsidRPr="00EC74D2" w:rsidRDefault="00A92DBA" w:rsidP="0030470F">
            <w:pPr>
              <w:tabs>
                <w:tab w:val="left" w:pos="630"/>
                <w:tab w:val="left" w:pos="990"/>
              </w:tabs>
              <w:jc w:val="right"/>
              <w:rPr>
                <w:rFonts w:ascii="Arial Narrow" w:hAnsi="Arial Narrow" w:cs="Arial"/>
                <w:sz w:val="18"/>
                <w:szCs w:val="18"/>
              </w:rPr>
            </w:pPr>
            <w:r w:rsidRPr="00EC74D2">
              <w:rPr>
                <w:rFonts w:ascii="Arial Narrow" w:hAnsi="Arial Narrow" w:cs="Arial"/>
                <w:sz w:val="18"/>
                <w:szCs w:val="18"/>
              </w:rPr>
              <w:t>58.98</w:t>
            </w:r>
          </w:p>
        </w:tc>
        <w:tc>
          <w:tcPr>
            <w:tcW w:w="4320" w:type="dxa"/>
          </w:tcPr>
          <w:p w:rsidR="00A92DBA" w:rsidRPr="00EC74D2" w:rsidRDefault="00A92DBA" w:rsidP="0030470F">
            <w:pPr>
              <w:tabs>
                <w:tab w:val="left" w:pos="630"/>
                <w:tab w:val="left" w:pos="990"/>
              </w:tabs>
              <w:rPr>
                <w:rFonts w:ascii="Arial Narrow" w:hAnsi="Arial Narrow" w:cs="Arial"/>
                <w:sz w:val="18"/>
                <w:szCs w:val="18"/>
              </w:rPr>
            </w:pPr>
            <w:r w:rsidRPr="00EC74D2">
              <w:rPr>
                <w:rFonts w:ascii="Arial Narrow" w:hAnsi="Arial Narrow" w:cs="Arial"/>
                <w:sz w:val="18"/>
                <w:szCs w:val="18"/>
                <w:u w:val="single"/>
              </w:rPr>
              <w:t>Items include the following</w:t>
            </w:r>
            <w:r w:rsidRPr="00EC74D2">
              <w:rPr>
                <w:rFonts w:ascii="Arial Narrow" w:hAnsi="Arial Narrow" w:cs="Arial"/>
                <w:sz w:val="18"/>
                <w:szCs w:val="18"/>
              </w:rPr>
              <w:t xml:space="preserve"> –</w:t>
            </w:r>
          </w:p>
          <w:p w:rsidR="00A92DBA" w:rsidRPr="00EC74D2" w:rsidRDefault="00A92DBA" w:rsidP="0030470F">
            <w:pPr>
              <w:tabs>
                <w:tab w:val="left" w:pos="630"/>
                <w:tab w:val="left" w:pos="990"/>
              </w:tabs>
              <w:rPr>
                <w:rFonts w:ascii="Arial Narrow" w:hAnsi="Arial Narrow" w:cs="Arial"/>
                <w:sz w:val="18"/>
                <w:szCs w:val="18"/>
              </w:rPr>
            </w:pPr>
            <w:r w:rsidRPr="00EC74D2">
              <w:rPr>
                <w:rFonts w:ascii="Arial Narrow" w:hAnsi="Arial Narrow" w:cs="Arial"/>
                <w:sz w:val="18"/>
                <w:szCs w:val="18"/>
              </w:rPr>
              <w:t>100000 leaflets</w:t>
            </w:r>
          </w:p>
          <w:p w:rsidR="00A92DBA" w:rsidRPr="00EC74D2" w:rsidRDefault="00A92DBA" w:rsidP="0030470F">
            <w:pPr>
              <w:tabs>
                <w:tab w:val="left" w:pos="630"/>
                <w:tab w:val="left" w:pos="990"/>
              </w:tabs>
              <w:rPr>
                <w:rFonts w:ascii="Arial Narrow" w:hAnsi="Arial Narrow" w:cs="Arial"/>
                <w:sz w:val="18"/>
                <w:szCs w:val="18"/>
              </w:rPr>
            </w:pPr>
            <w:r w:rsidRPr="00EC74D2">
              <w:rPr>
                <w:rFonts w:ascii="Arial Narrow" w:hAnsi="Arial Narrow" w:cs="Arial"/>
                <w:sz w:val="18"/>
                <w:szCs w:val="18"/>
              </w:rPr>
              <w:t>20000 booklets</w:t>
            </w:r>
          </w:p>
          <w:p w:rsidR="00A92DBA" w:rsidRPr="00EC74D2" w:rsidRDefault="00A92DBA" w:rsidP="0030470F">
            <w:pPr>
              <w:tabs>
                <w:tab w:val="left" w:pos="630"/>
                <w:tab w:val="left" w:pos="990"/>
              </w:tabs>
              <w:rPr>
                <w:rFonts w:ascii="Arial Narrow" w:hAnsi="Arial Narrow" w:cs="Arial"/>
                <w:sz w:val="18"/>
                <w:szCs w:val="18"/>
              </w:rPr>
            </w:pPr>
            <w:r w:rsidRPr="00EC74D2">
              <w:rPr>
                <w:rFonts w:ascii="Arial Narrow" w:hAnsi="Arial Narrow" w:cs="Arial"/>
                <w:sz w:val="18"/>
                <w:szCs w:val="18"/>
              </w:rPr>
              <w:t>6 nos. Quickies (30 sec.) nos. for  Television</w:t>
            </w:r>
          </w:p>
          <w:p w:rsidR="00A92DBA" w:rsidRPr="00EC74D2" w:rsidRDefault="00A92DBA" w:rsidP="0030470F">
            <w:pPr>
              <w:tabs>
                <w:tab w:val="left" w:pos="630"/>
                <w:tab w:val="left" w:pos="990"/>
              </w:tabs>
              <w:rPr>
                <w:rFonts w:ascii="Arial Narrow" w:hAnsi="Arial Narrow" w:cs="Arial"/>
                <w:sz w:val="18"/>
                <w:szCs w:val="18"/>
              </w:rPr>
            </w:pPr>
            <w:r w:rsidRPr="00EC74D2">
              <w:rPr>
                <w:rFonts w:ascii="Arial Narrow" w:hAnsi="Arial Narrow" w:cs="Arial"/>
                <w:sz w:val="18"/>
                <w:szCs w:val="18"/>
              </w:rPr>
              <w:t>5 nos. Jingles/Spot (30 nos. sec) for Radio</w:t>
            </w:r>
          </w:p>
          <w:p w:rsidR="00A92DBA" w:rsidRPr="00EC74D2" w:rsidRDefault="00A92DBA" w:rsidP="0030470F">
            <w:pPr>
              <w:tabs>
                <w:tab w:val="left" w:pos="630"/>
                <w:tab w:val="left" w:pos="990"/>
              </w:tabs>
              <w:rPr>
                <w:rFonts w:ascii="Arial Narrow" w:hAnsi="Arial Narrow" w:cs="Arial"/>
                <w:sz w:val="18"/>
                <w:szCs w:val="18"/>
              </w:rPr>
            </w:pPr>
            <w:r w:rsidRPr="00EC74D2">
              <w:rPr>
                <w:rFonts w:ascii="Arial Narrow" w:hAnsi="Arial Narrow" w:cs="Arial"/>
                <w:sz w:val="18"/>
                <w:szCs w:val="18"/>
              </w:rPr>
              <w:t>Display/Advt./ in papers</w:t>
            </w:r>
          </w:p>
          <w:p w:rsidR="00A92DBA" w:rsidRPr="00EC74D2" w:rsidRDefault="00A92DBA" w:rsidP="0030470F">
            <w:pPr>
              <w:jc w:val="both"/>
              <w:rPr>
                <w:rFonts w:ascii="Arial Narrow" w:hAnsi="Arial Narrow" w:cs="Arial"/>
                <w:sz w:val="18"/>
                <w:szCs w:val="18"/>
              </w:rPr>
            </w:pPr>
            <w:r w:rsidRPr="00EC74D2">
              <w:rPr>
                <w:rFonts w:ascii="Arial Narrow" w:hAnsi="Arial Narrow" w:cs="Arial"/>
                <w:sz w:val="18"/>
                <w:szCs w:val="18"/>
              </w:rPr>
              <w:t>Campaign through Mobile Theatre</w:t>
            </w:r>
          </w:p>
        </w:tc>
        <w:tc>
          <w:tcPr>
            <w:tcW w:w="3600" w:type="dxa"/>
          </w:tcPr>
          <w:p w:rsidR="00A92DBA" w:rsidRPr="00EC74D2" w:rsidRDefault="00A92DBA" w:rsidP="0030470F">
            <w:pPr>
              <w:jc w:val="both"/>
              <w:rPr>
                <w:rFonts w:ascii="Arial Narrow" w:hAnsi="Arial Narrow" w:cs="Arial"/>
                <w:b/>
                <w:sz w:val="18"/>
                <w:szCs w:val="18"/>
              </w:rPr>
            </w:pPr>
            <w:r w:rsidRPr="00EC74D2">
              <w:rPr>
                <w:rFonts w:ascii="Arial Narrow" w:hAnsi="Arial Narrow" w:cs="Arial"/>
                <w:sz w:val="18"/>
                <w:szCs w:val="18"/>
              </w:rPr>
              <w:t xml:space="preserve">Total Estimated Cost Rs 346.26 </w:t>
            </w:r>
            <w:proofErr w:type="spellStart"/>
            <w:r w:rsidRPr="00EC74D2">
              <w:rPr>
                <w:rFonts w:ascii="Arial Narrow" w:hAnsi="Arial Narrow" w:cs="Arial"/>
                <w:sz w:val="18"/>
                <w:szCs w:val="18"/>
              </w:rPr>
              <w:t>Lakh</w:t>
            </w:r>
            <w:proofErr w:type="spellEnd"/>
            <w:r w:rsidRPr="00EC74D2">
              <w:rPr>
                <w:rFonts w:ascii="Arial Narrow" w:hAnsi="Arial Narrow" w:cs="Arial"/>
                <w:sz w:val="18"/>
                <w:szCs w:val="18"/>
              </w:rPr>
              <w:t xml:space="preserve"> for the particular component submitted under 2014-15 </w:t>
            </w:r>
            <w:r w:rsidRPr="00EC74D2">
              <w:rPr>
                <w:rFonts w:ascii="Arial Narrow" w:hAnsi="Arial Narrow" w:cs="Arial"/>
                <w:b/>
                <w:sz w:val="18"/>
                <w:szCs w:val="18"/>
              </w:rPr>
              <w:t>(Annexure-10).</w:t>
            </w:r>
          </w:p>
          <w:p w:rsidR="00A92DBA" w:rsidRPr="00EC74D2" w:rsidRDefault="00A92DBA" w:rsidP="0030470F">
            <w:pPr>
              <w:jc w:val="both"/>
              <w:rPr>
                <w:rFonts w:ascii="Arial Narrow" w:hAnsi="Arial Narrow" w:cs="Arial"/>
                <w:b/>
                <w:sz w:val="18"/>
                <w:szCs w:val="18"/>
              </w:rPr>
            </w:pPr>
            <w:r w:rsidRPr="00EC74D2">
              <w:rPr>
                <w:rFonts w:ascii="Arial Narrow" w:hAnsi="Arial Narrow" w:cs="Arial"/>
                <w:b/>
                <w:sz w:val="18"/>
                <w:szCs w:val="18"/>
              </w:rPr>
              <w:t>Amount approved under 1</w:t>
            </w:r>
            <w:r w:rsidRPr="00EC74D2">
              <w:rPr>
                <w:rFonts w:ascii="Arial Narrow" w:hAnsi="Arial Narrow" w:cs="Arial"/>
                <w:b/>
                <w:sz w:val="18"/>
                <w:szCs w:val="18"/>
                <w:vertAlign w:val="superscript"/>
              </w:rPr>
              <w:t>st</w:t>
            </w:r>
            <w:r w:rsidRPr="00EC74D2">
              <w:rPr>
                <w:rFonts w:ascii="Arial Narrow" w:hAnsi="Arial Narrow" w:cs="Arial"/>
                <w:b/>
                <w:sz w:val="18"/>
                <w:szCs w:val="18"/>
              </w:rPr>
              <w:t xml:space="preserve"> instalment Rs 58.98 </w:t>
            </w:r>
            <w:proofErr w:type="spellStart"/>
            <w:r w:rsidRPr="00EC74D2">
              <w:rPr>
                <w:rFonts w:ascii="Arial Narrow" w:hAnsi="Arial Narrow" w:cs="Arial"/>
                <w:b/>
                <w:sz w:val="18"/>
                <w:szCs w:val="18"/>
              </w:rPr>
              <w:t>lakh</w:t>
            </w:r>
            <w:proofErr w:type="spellEnd"/>
            <w:r w:rsidRPr="00EC74D2">
              <w:rPr>
                <w:rFonts w:ascii="Arial Narrow" w:hAnsi="Arial Narrow" w:cs="Arial"/>
                <w:b/>
                <w:sz w:val="18"/>
                <w:szCs w:val="18"/>
              </w:rPr>
              <w:t xml:space="preserve"> (Rs 44.24 </w:t>
            </w:r>
            <w:proofErr w:type="spellStart"/>
            <w:r w:rsidRPr="00EC74D2">
              <w:rPr>
                <w:rFonts w:ascii="Arial Narrow" w:hAnsi="Arial Narrow" w:cs="Arial"/>
                <w:b/>
                <w:sz w:val="18"/>
                <w:szCs w:val="18"/>
              </w:rPr>
              <w:t>lakh</w:t>
            </w:r>
            <w:proofErr w:type="spellEnd"/>
            <w:r w:rsidRPr="00EC74D2">
              <w:rPr>
                <w:rFonts w:ascii="Arial Narrow" w:hAnsi="Arial Narrow" w:cs="Arial"/>
                <w:b/>
                <w:sz w:val="18"/>
                <w:szCs w:val="18"/>
              </w:rPr>
              <w:t xml:space="preserve"> as Central share and Rs 14.74 as State share)</w:t>
            </w:r>
            <w:proofErr w:type="gramStart"/>
            <w:r w:rsidRPr="00EC74D2">
              <w:rPr>
                <w:rFonts w:ascii="Arial Narrow" w:hAnsi="Arial Narrow" w:cs="Arial"/>
                <w:b/>
                <w:sz w:val="18"/>
                <w:szCs w:val="18"/>
              </w:rPr>
              <w:t>.(</w:t>
            </w:r>
            <w:proofErr w:type="gramEnd"/>
            <w:r w:rsidRPr="00EC74D2">
              <w:rPr>
                <w:rFonts w:ascii="Arial Narrow" w:hAnsi="Arial Narrow" w:cs="Arial"/>
                <w:b/>
                <w:sz w:val="18"/>
                <w:szCs w:val="18"/>
              </w:rPr>
              <w:t>Annexure-11).</w:t>
            </w:r>
          </w:p>
          <w:p w:rsidR="00A92DBA" w:rsidRPr="00EC74D2" w:rsidRDefault="00A92DBA" w:rsidP="0030470F">
            <w:pPr>
              <w:jc w:val="both"/>
              <w:rPr>
                <w:rFonts w:ascii="Arial Narrow" w:hAnsi="Arial Narrow" w:cs="Arial"/>
                <w:sz w:val="18"/>
                <w:szCs w:val="18"/>
              </w:rPr>
            </w:pPr>
          </w:p>
        </w:tc>
      </w:tr>
      <w:tr w:rsidR="00A92DBA" w:rsidRPr="00EC74D2" w:rsidTr="0030470F">
        <w:tc>
          <w:tcPr>
            <w:tcW w:w="450" w:type="dxa"/>
          </w:tcPr>
          <w:p w:rsidR="00A92DBA" w:rsidRPr="00EC74D2" w:rsidRDefault="00A92DBA" w:rsidP="0030470F">
            <w:pPr>
              <w:jc w:val="both"/>
              <w:rPr>
                <w:rFonts w:ascii="Arial Narrow" w:hAnsi="Arial Narrow" w:cs="Arial"/>
                <w:sz w:val="18"/>
                <w:szCs w:val="18"/>
              </w:rPr>
            </w:pPr>
          </w:p>
        </w:tc>
        <w:tc>
          <w:tcPr>
            <w:tcW w:w="1458" w:type="dxa"/>
          </w:tcPr>
          <w:p w:rsidR="00A92DBA" w:rsidRPr="00EC74D2" w:rsidRDefault="00A92DBA" w:rsidP="0030470F">
            <w:pPr>
              <w:jc w:val="both"/>
              <w:rPr>
                <w:rFonts w:ascii="Arial Narrow" w:hAnsi="Arial Narrow" w:cs="Arial"/>
                <w:sz w:val="18"/>
                <w:szCs w:val="18"/>
              </w:rPr>
            </w:pPr>
            <w:r w:rsidRPr="00EC74D2">
              <w:rPr>
                <w:rFonts w:ascii="Arial Narrow" w:hAnsi="Arial Narrow" w:cs="Arial"/>
                <w:sz w:val="18"/>
                <w:szCs w:val="18"/>
              </w:rPr>
              <w:t>Total</w:t>
            </w:r>
          </w:p>
        </w:tc>
        <w:tc>
          <w:tcPr>
            <w:tcW w:w="1080" w:type="dxa"/>
          </w:tcPr>
          <w:p w:rsidR="00A92DBA" w:rsidRPr="00EC74D2" w:rsidRDefault="00A92DBA" w:rsidP="0030470F">
            <w:pPr>
              <w:jc w:val="both"/>
              <w:rPr>
                <w:rFonts w:ascii="Arial Narrow" w:hAnsi="Arial Narrow" w:cs="Arial"/>
                <w:b/>
                <w:sz w:val="18"/>
                <w:szCs w:val="18"/>
              </w:rPr>
            </w:pPr>
            <w:r w:rsidRPr="00EC74D2">
              <w:rPr>
                <w:rFonts w:ascii="Arial Narrow" w:hAnsi="Arial Narrow" w:cs="Arial"/>
                <w:b/>
                <w:sz w:val="18"/>
                <w:szCs w:val="18"/>
              </w:rPr>
              <w:t>452.194</w:t>
            </w:r>
          </w:p>
        </w:tc>
        <w:tc>
          <w:tcPr>
            <w:tcW w:w="1080" w:type="dxa"/>
          </w:tcPr>
          <w:p w:rsidR="00A92DBA" w:rsidRPr="00EC74D2" w:rsidRDefault="00A92DBA" w:rsidP="0030470F">
            <w:pPr>
              <w:jc w:val="both"/>
              <w:rPr>
                <w:rFonts w:ascii="Arial Narrow" w:hAnsi="Arial Narrow" w:cs="Arial"/>
                <w:b/>
                <w:sz w:val="18"/>
                <w:szCs w:val="18"/>
              </w:rPr>
            </w:pPr>
            <w:r w:rsidRPr="00EC74D2">
              <w:rPr>
                <w:rFonts w:ascii="Arial Narrow" w:hAnsi="Arial Narrow" w:cs="Arial"/>
                <w:b/>
                <w:sz w:val="18"/>
                <w:szCs w:val="18"/>
              </w:rPr>
              <w:t>119.476</w:t>
            </w:r>
          </w:p>
        </w:tc>
        <w:tc>
          <w:tcPr>
            <w:tcW w:w="999" w:type="dxa"/>
          </w:tcPr>
          <w:p w:rsidR="00A92DBA" w:rsidRPr="00EC74D2" w:rsidRDefault="00A92DBA" w:rsidP="0030470F">
            <w:pPr>
              <w:jc w:val="both"/>
              <w:rPr>
                <w:rFonts w:ascii="Arial Narrow" w:hAnsi="Arial Narrow" w:cs="Arial"/>
                <w:b/>
                <w:sz w:val="18"/>
                <w:szCs w:val="18"/>
              </w:rPr>
            </w:pPr>
            <w:r w:rsidRPr="00EC74D2">
              <w:rPr>
                <w:rFonts w:ascii="Arial Narrow" w:hAnsi="Arial Narrow" w:cs="Arial"/>
                <w:b/>
                <w:sz w:val="18"/>
                <w:szCs w:val="18"/>
              </w:rPr>
              <w:t>81.40</w:t>
            </w:r>
          </w:p>
        </w:tc>
        <w:tc>
          <w:tcPr>
            <w:tcW w:w="981" w:type="dxa"/>
          </w:tcPr>
          <w:p w:rsidR="00A92DBA" w:rsidRPr="00EC74D2" w:rsidRDefault="00A92DBA" w:rsidP="0030470F">
            <w:pPr>
              <w:jc w:val="both"/>
              <w:rPr>
                <w:rFonts w:ascii="Arial Narrow" w:hAnsi="Arial Narrow" w:cs="Arial"/>
                <w:b/>
                <w:sz w:val="18"/>
                <w:szCs w:val="18"/>
              </w:rPr>
            </w:pPr>
            <w:r w:rsidRPr="00EC74D2">
              <w:rPr>
                <w:rFonts w:ascii="Arial Narrow" w:hAnsi="Arial Narrow" w:cs="Arial"/>
                <w:b/>
                <w:sz w:val="18"/>
                <w:szCs w:val="18"/>
              </w:rPr>
              <w:t>653.07</w:t>
            </w:r>
          </w:p>
        </w:tc>
        <w:tc>
          <w:tcPr>
            <w:tcW w:w="4320" w:type="dxa"/>
          </w:tcPr>
          <w:p w:rsidR="00A92DBA" w:rsidRPr="00EC74D2" w:rsidRDefault="00A92DBA" w:rsidP="0030470F">
            <w:pPr>
              <w:jc w:val="both"/>
              <w:rPr>
                <w:rFonts w:ascii="Arial Narrow" w:hAnsi="Arial Narrow" w:cs="Arial"/>
                <w:sz w:val="18"/>
                <w:szCs w:val="18"/>
              </w:rPr>
            </w:pPr>
          </w:p>
        </w:tc>
        <w:tc>
          <w:tcPr>
            <w:tcW w:w="3600" w:type="dxa"/>
          </w:tcPr>
          <w:p w:rsidR="00A92DBA" w:rsidRPr="00EC74D2" w:rsidRDefault="00A92DBA" w:rsidP="0030470F">
            <w:pPr>
              <w:jc w:val="both"/>
              <w:rPr>
                <w:rFonts w:ascii="Arial Narrow" w:hAnsi="Arial Narrow" w:cs="Arial"/>
                <w:sz w:val="18"/>
                <w:szCs w:val="18"/>
              </w:rPr>
            </w:pPr>
          </w:p>
        </w:tc>
      </w:tr>
    </w:tbl>
    <w:p w:rsidR="00A92DBA" w:rsidRPr="00EC74D2" w:rsidRDefault="00A92DBA" w:rsidP="00A92DBA">
      <w:pPr>
        <w:spacing w:after="0" w:line="240" w:lineRule="auto"/>
        <w:jc w:val="center"/>
        <w:rPr>
          <w:rFonts w:ascii="Arial Narrow" w:hAnsi="Arial Narrow" w:cs="Arial"/>
          <w:sz w:val="18"/>
          <w:szCs w:val="18"/>
        </w:rPr>
      </w:pPr>
      <w:r w:rsidRPr="00EC74D2">
        <w:rPr>
          <w:rFonts w:ascii="Arial Narrow" w:hAnsi="Arial Narrow" w:cs="Arial"/>
          <w:sz w:val="18"/>
          <w:szCs w:val="18"/>
        </w:rPr>
        <w:t>Action Plan/Project Components sanctioned under FY 2014-15 (revalidated for FY 2015-16) – against release from 1</w:t>
      </w:r>
      <w:r w:rsidRPr="00EC74D2">
        <w:rPr>
          <w:rFonts w:ascii="Arial Narrow" w:hAnsi="Arial Narrow" w:cs="Arial"/>
          <w:sz w:val="18"/>
          <w:szCs w:val="18"/>
          <w:vertAlign w:val="superscript"/>
        </w:rPr>
        <w:t>st</w:t>
      </w:r>
      <w:r w:rsidRPr="00EC74D2">
        <w:rPr>
          <w:rFonts w:ascii="Arial Narrow" w:hAnsi="Arial Narrow" w:cs="Arial"/>
          <w:sz w:val="18"/>
          <w:szCs w:val="18"/>
        </w:rPr>
        <w:t xml:space="preserve"> Instalment from Govt. of India</w:t>
      </w:r>
    </w:p>
    <w:p w:rsidR="00A92DBA" w:rsidRDefault="00A92DBA" w:rsidP="00A92DBA"/>
    <w:p w:rsidR="000D0E98" w:rsidRDefault="000D0E98"/>
    <w:sectPr w:rsidR="000D0E98" w:rsidSect="00A92DB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drawingGridHorizontalSpacing w:val="110"/>
  <w:displayHorizontalDrawingGridEvery w:val="2"/>
  <w:characterSpacingControl w:val="doNotCompress"/>
  <w:compat/>
  <w:rsids>
    <w:rsidRoot w:val="00A92DBA"/>
    <w:rsid w:val="000D0E98"/>
    <w:rsid w:val="00A92DB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BA"/>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DBA"/>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2017-06-27T18:53:00Z</dcterms:created>
  <dcterms:modified xsi:type="dcterms:W3CDTF">2017-06-27T18:54:00Z</dcterms:modified>
</cp:coreProperties>
</file>